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99B" w:rsidRDefault="0068799B" w:rsidP="00D73DA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w:t>
      </w:r>
      <w:r w:rsidR="00D73DA7" w:rsidRPr="00D73DA7">
        <w:rPr>
          <w:rFonts w:ascii="Times New Roman" w:hAnsi="Times New Roman" w:cs="Times New Roman"/>
          <w:b/>
          <w:bCs/>
          <w:sz w:val="24"/>
          <w:szCs w:val="24"/>
        </w:rPr>
        <w:t>снования для введения</w:t>
      </w:r>
      <w:r>
        <w:rPr>
          <w:rFonts w:ascii="Times New Roman" w:hAnsi="Times New Roman" w:cs="Times New Roman"/>
          <w:b/>
          <w:bCs/>
          <w:sz w:val="24"/>
          <w:szCs w:val="24"/>
        </w:rPr>
        <w:t xml:space="preserve"> </w:t>
      </w:r>
      <w:r w:rsidR="00D73DA7" w:rsidRPr="00D73DA7">
        <w:rPr>
          <w:rFonts w:ascii="Times New Roman" w:hAnsi="Times New Roman" w:cs="Times New Roman"/>
          <w:b/>
          <w:bCs/>
          <w:sz w:val="24"/>
          <w:szCs w:val="24"/>
        </w:rPr>
        <w:t xml:space="preserve">полного и (или) частичного </w:t>
      </w:r>
    </w:p>
    <w:p w:rsidR="00D73DA7" w:rsidRDefault="00D73DA7" w:rsidP="00D73DA7">
      <w:pPr>
        <w:spacing w:after="0" w:line="240" w:lineRule="auto"/>
        <w:jc w:val="center"/>
        <w:rPr>
          <w:rFonts w:ascii="Times New Roman" w:hAnsi="Times New Roman" w:cs="Times New Roman"/>
          <w:b/>
          <w:bCs/>
          <w:sz w:val="24"/>
          <w:szCs w:val="24"/>
        </w:rPr>
      </w:pPr>
      <w:r w:rsidRPr="00D73DA7">
        <w:rPr>
          <w:rFonts w:ascii="Times New Roman" w:hAnsi="Times New Roman" w:cs="Times New Roman"/>
          <w:b/>
          <w:bCs/>
          <w:sz w:val="24"/>
          <w:szCs w:val="24"/>
        </w:rPr>
        <w:t>ограничения режима потребления электрической энергии</w:t>
      </w:r>
    </w:p>
    <w:p w:rsidR="0068799B" w:rsidRDefault="0068799B" w:rsidP="00D73DA7">
      <w:pPr>
        <w:spacing w:after="0" w:line="240" w:lineRule="auto"/>
        <w:jc w:val="center"/>
        <w:rPr>
          <w:rFonts w:ascii="Times New Roman" w:hAnsi="Times New Roman" w:cs="Times New Roman"/>
          <w:b/>
          <w:bCs/>
          <w:sz w:val="24"/>
          <w:szCs w:val="24"/>
        </w:rPr>
      </w:pPr>
    </w:p>
    <w:p w:rsidR="0068799B" w:rsidRDefault="0068799B" w:rsidP="00D73DA7">
      <w:pPr>
        <w:spacing w:after="0" w:line="240" w:lineRule="auto"/>
        <w:jc w:val="center"/>
        <w:rPr>
          <w:rFonts w:ascii="Times New Roman" w:hAnsi="Times New Roman" w:cs="Times New Roman"/>
          <w:b/>
          <w:bCs/>
          <w:sz w:val="24"/>
          <w:szCs w:val="24"/>
        </w:rPr>
      </w:pPr>
      <w:r w:rsidRPr="0068799B">
        <w:rPr>
          <w:rFonts w:ascii="Times New Roman" w:hAnsi="Times New Roman" w:cs="Times New Roman"/>
          <w:b/>
          <w:bCs/>
          <w:sz w:val="24"/>
          <w:szCs w:val="24"/>
        </w:rPr>
        <w:t>(</w:t>
      </w:r>
      <w:r>
        <w:rPr>
          <w:rFonts w:ascii="Times New Roman" w:hAnsi="Times New Roman" w:cs="Times New Roman"/>
          <w:b/>
          <w:bCs/>
          <w:sz w:val="24"/>
          <w:szCs w:val="24"/>
        </w:rPr>
        <w:t>и</w:t>
      </w:r>
      <w:r w:rsidRPr="0068799B">
        <w:rPr>
          <w:rFonts w:ascii="Times New Roman" w:hAnsi="Times New Roman" w:cs="Times New Roman"/>
          <w:b/>
          <w:bCs/>
          <w:sz w:val="24"/>
          <w:szCs w:val="24"/>
        </w:rPr>
        <w:t>нформация</w:t>
      </w:r>
      <w:r>
        <w:rPr>
          <w:rFonts w:ascii="Times New Roman" w:hAnsi="Times New Roman" w:cs="Times New Roman"/>
          <w:b/>
          <w:bCs/>
          <w:sz w:val="24"/>
          <w:szCs w:val="24"/>
        </w:rPr>
        <w:t xml:space="preserve"> </w:t>
      </w:r>
      <w:r w:rsidRPr="0068799B">
        <w:rPr>
          <w:rFonts w:ascii="Times New Roman" w:hAnsi="Times New Roman" w:cs="Times New Roman"/>
          <w:b/>
          <w:bCs/>
          <w:sz w:val="24"/>
          <w:szCs w:val="24"/>
        </w:rPr>
        <w:t>раскрывае</w:t>
      </w:r>
      <w:r>
        <w:rPr>
          <w:rFonts w:ascii="Times New Roman" w:hAnsi="Times New Roman" w:cs="Times New Roman"/>
          <w:b/>
          <w:bCs/>
          <w:sz w:val="24"/>
          <w:szCs w:val="24"/>
        </w:rPr>
        <w:t>тся</w:t>
      </w:r>
      <w:r w:rsidRPr="0068799B">
        <w:rPr>
          <w:rFonts w:ascii="Times New Roman" w:hAnsi="Times New Roman" w:cs="Times New Roman"/>
          <w:b/>
          <w:bCs/>
          <w:sz w:val="24"/>
          <w:szCs w:val="24"/>
        </w:rPr>
        <w:t xml:space="preserve"> в соответствии с подпунктом д) пункта 49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21.01.2004 № 24)</w:t>
      </w:r>
    </w:p>
    <w:p w:rsidR="0068799B" w:rsidRPr="00D73DA7" w:rsidRDefault="0068799B" w:rsidP="00D73DA7">
      <w:pPr>
        <w:spacing w:after="0" w:line="240" w:lineRule="auto"/>
        <w:jc w:val="center"/>
        <w:rPr>
          <w:rFonts w:ascii="Times New Roman" w:hAnsi="Times New Roman" w:cs="Times New Roman"/>
          <w:b/>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5"/>
        <w:gridCol w:w="9145"/>
      </w:tblGrid>
      <w:tr w:rsidR="00D73DA7" w:rsidRPr="00D73DA7" w:rsidTr="00D73DA7">
        <w:trPr>
          <w:jc w:val="center"/>
        </w:trPr>
        <w:tc>
          <w:tcPr>
            <w:tcW w:w="465" w:type="dxa"/>
          </w:tcPr>
          <w:p w:rsidR="00D73DA7" w:rsidRPr="00D73DA7" w:rsidRDefault="00D73DA7" w:rsidP="00D73DA7">
            <w:pPr>
              <w:spacing w:after="0" w:line="240" w:lineRule="auto"/>
              <w:jc w:val="center"/>
              <w:rPr>
                <w:rFonts w:ascii="Times New Roman" w:hAnsi="Times New Roman" w:cs="Times New Roman"/>
                <w:sz w:val="24"/>
                <w:szCs w:val="24"/>
              </w:rPr>
            </w:pPr>
            <w:r w:rsidRPr="00D73DA7">
              <w:rPr>
                <w:rFonts w:ascii="Times New Roman" w:hAnsi="Times New Roman" w:cs="Times New Roman"/>
                <w:sz w:val="24"/>
                <w:szCs w:val="24"/>
                <w:lang w:val="en-US"/>
              </w:rPr>
              <w:t>№</w:t>
            </w:r>
          </w:p>
          <w:p w:rsidR="00D73DA7" w:rsidRPr="00D73DA7" w:rsidRDefault="00D73DA7" w:rsidP="00D73DA7">
            <w:pPr>
              <w:spacing w:after="0" w:line="240" w:lineRule="auto"/>
              <w:jc w:val="center"/>
              <w:rPr>
                <w:rFonts w:ascii="Times New Roman" w:hAnsi="Times New Roman" w:cs="Times New Roman"/>
                <w:sz w:val="24"/>
                <w:szCs w:val="24"/>
                <w:lang w:val="en-US"/>
              </w:rPr>
            </w:pPr>
            <w:r w:rsidRPr="00D73DA7">
              <w:rPr>
                <w:rFonts w:ascii="Times New Roman" w:hAnsi="Times New Roman" w:cs="Times New Roman"/>
                <w:sz w:val="24"/>
                <w:szCs w:val="24"/>
                <w:lang w:val="en-US"/>
              </w:rPr>
              <w:t>п/п</w:t>
            </w:r>
          </w:p>
        </w:tc>
        <w:tc>
          <w:tcPr>
            <w:tcW w:w="9145" w:type="dxa"/>
          </w:tcPr>
          <w:p w:rsidR="00D73DA7" w:rsidRPr="00D73DA7" w:rsidRDefault="00D73DA7" w:rsidP="00D73DA7">
            <w:pPr>
              <w:spacing w:after="0" w:line="240" w:lineRule="auto"/>
              <w:jc w:val="center"/>
              <w:rPr>
                <w:rFonts w:ascii="Times New Roman" w:hAnsi="Times New Roman" w:cs="Times New Roman"/>
                <w:sz w:val="24"/>
                <w:szCs w:val="24"/>
              </w:rPr>
            </w:pPr>
            <w:r w:rsidRPr="00D73DA7">
              <w:rPr>
                <w:rFonts w:ascii="Times New Roman" w:hAnsi="Times New Roman" w:cs="Times New Roman"/>
                <w:sz w:val="24"/>
                <w:szCs w:val="24"/>
              </w:rPr>
              <w:t>Основания для введения полного и (или) частичного</w:t>
            </w:r>
            <w:r w:rsidRPr="00D73DA7">
              <w:rPr>
                <w:rFonts w:ascii="Times New Roman" w:hAnsi="Times New Roman" w:cs="Times New Roman"/>
                <w:sz w:val="24"/>
                <w:szCs w:val="24"/>
              </w:rPr>
              <w:br/>
              <w:t>ограничения режима потребления электрической энергии</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p>
        </w:tc>
        <w:tc>
          <w:tcPr>
            <w:tcW w:w="9145" w:type="dxa"/>
          </w:tcPr>
          <w:p w:rsidR="00D73DA7" w:rsidRPr="00D73DA7" w:rsidRDefault="00D73DA7" w:rsidP="00876B7D">
            <w:pPr>
              <w:pStyle w:val="3"/>
              <w:spacing w:before="0" w:line="240" w:lineRule="auto"/>
              <w:jc w:val="both"/>
              <w:rPr>
                <w:rFonts w:ascii="Times New Roman" w:hAnsi="Times New Roman" w:cs="Times New Roman"/>
                <w:sz w:val="24"/>
                <w:szCs w:val="24"/>
              </w:rPr>
            </w:pPr>
            <w:r w:rsidRPr="00D73DA7">
              <w:rPr>
                <w:rFonts w:ascii="Times New Roman" w:hAnsi="Times New Roman" w:cs="Times New Roman"/>
                <w:color w:val="auto"/>
                <w:sz w:val="24"/>
                <w:szCs w:val="24"/>
              </w:rPr>
              <w:t>В соответствии с пунктом 2 раздела 1 Правил полного и (или) частичного ограничения режима потребления электрической энергии, утвержденных Постановлением Правительства Российской Федерации от 04.05.2012 № 442, ограничение режима потребления электрической энергии потребителей</w:t>
            </w:r>
            <w:r w:rsidR="005A485C">
              <w:rPr>
                <w:rFonts w:ascii="Times New Roman" w:hAnsi="Times New Roman" w:cs="Times New Roman"/>
                <w:color w:val="auto"/>
                <w:sz w:val="24"/>
                <w:szCs w:val="24"/>
              </w:rPr>
              <w:t xml:space="preserve"> (за исключением потребителе</w:t>
            </w:r>
            <w:r w:rsidR="00876B7D">
              <w:rPr>
                <w:rFonts w:ascii="Times New Roman" w:hAnsi="Times New Roman" w:cs="Times New Roman"/>
                <w:color w:val="auto"/>
                <w:sz w:val="24"/>
                <w:szCs w:val="24"/>
              </w:rPr>
              <w:t>й коммунальной услуги по электроснабжению)</w:t>
            </w:r>
            <w:r w:rsidRPr="00D73DA7">
              <w:rPr>
                <w:rFonts w:ascii="Times New Roman" w:hAnsi="Times New Roman" w:cs="Times New Roman"/>
                <w:color w:val="auto"/>
                <w:sz w:val="24"/>
                <w:szCs w:val="24"/>
              </w:rPr>
              <w:t xml:space="preserve"> вводится при наступлении любого из следующих обстоятельств:</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1</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получение законного требования судебного пристава-исполнителя о введении ограничения режима потребления;</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2</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нарушение потребителем своих обязательств, выразившееся в следующих действиях:</w:t>
            </w:r>
          </w:p>
          <w:p w:rsidR="00D73DA7" w:rsidRPr="00D73DA7" w:rsidRDefault="00D73DA7" w:rsidP="00D73DA7">
            <w:pPr>
              <w:pStyle w:val="a4"/>
              <w:numPr>
                <w:ilvl w:val="0"/>
                <w:numId w:val="1"/>
              </w:numPr>
              <w:spacing w:after="0" w:line="240" w:lineRule="auto"/>
              <w:ind w:left="743" w:hanging="426"/>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неисполнение или ненадлежащее исполнение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если это привело к образованию задолженности потребителя перед гарантирующим поставщиком, энергосбытовой, энергоснабжающей организацией или производителем электрической энергии (мощности) на розничном рынке по основному обязательству, возникшему из договора энергоснабжения (купли-продажи (поставки) электрической энергии (мощности)), в том числе обязательству по предварительной оплате электрической энергии (мощности);</w:t>
            </w:r>
          </w:p>
          <w:p w:rsidR="00D73DA7" w:rsidRPr="00D73DA7" w:rsidRDefault="00D73DA7" w:rsidP="00D73DA7">
            <w:pPr>
              <w:pStyle w:val="a4"/>
              <w:numPr>
                <w:ilvl w:val="0"/>
                <w:numId w:val="1"/>
              </w:numPr>
              <w:spacing w:after="0" w:line="240" w:lineRule="auto"/>
              <w:ind w:left="743" w:hanging="426"/>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неисполнение или ненадлежащее исполнение потребителем обязательств по оплате услуг по передаче электрической энергии, если это привело к образованию задолженности потребителя перед сетевой организацией по основному обязательству, возникшему из договора об оказании услуг по передаче электрической энергии, в том числе обязательству по предварительной оплате таких услуг;</w:t>
            </w:r>
          </w:p>
          <w:p w:rsidR="00D73DA7" w:rsidRPr="00D73DA7" w:rsidRDefault="00B77508" w:rsidP="00D73DA7">
            <w:pPr>
              <w:pStyle w:val="a4"/>
              <w:numPr>
                <w:ilvl w:val="0"/>
                <w:numId w:val="1"/>
              </w:numPr>
              <w:spacing w:after="0" w:line="240" w:lineRule="auto"/>
              <w:ind w:left="743" w:hanging="426"/>
              <w:jc w:val="both"/>
              <w:rPr>
                <w:rFonts w:ascii="Times New Roman" w:eastAsia="Times New Roman" w:hAnsi="Times New Roman" w:cs="Times New Roman"/>
                <w:sz w:val="24"/>
                <w:szCs w:val="24"/>
                <w:lang w:eastAsia="ru-RU"/>
              </w:rPr>
            </w:pPr>
            <w:r w:rsidRPr="00B77508">
              <w:rPr>
                <w:rFonts w:ascii="Times New Roman" w:eastAsia="Times New Roman" w:hAnsi="Times New Roman" w:cs="Times New Roman"/>
                <w:sz w:val="24"/>
                <w:szCs w:val="24"/>
                <w:lang w:eastAsia="ru-RU"/>
              </w:rPr>
              <w:t>неисполнение или ненадлежащее исполнение потребителем условий договора, касающихся обеспечения функционирования устройств релейной защиты, сетевой, противоаварийной и режимной автоматики, устройств компенсации реактивной мощности;</w:t>
            </w:r>
          </w:p>
          <w:p w:rsidR="00D73DA7" w:rsidRPr="00D73DA7" w:rsidRDefault="00D73DA7" w:rsidP="00D73DA7">
            <w:pPr>
              <w:pStyle w:val="a4"/>
              <w:numPr>
                <w:ilvl w:val="0"/>
                <w:numId w:val="1"/>
              </w:numPr>
              <w:spacing w:after="0" w:line="240" w:lineRule="auto"/>
              <w:ind w:left="743" w:hanging="426"/>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 xml:space="preserve">нарушение характеристик технологического присоединения, указанных в документах о технологическом присоединении (в том числе превышение максимальной мощности энергопринимающего устройства потребителя), вызванное подключением потребителем к принадлежащим ему энергопринимающим устройствам и (или) объектам электроэнергетики </w:t>
            </w:r>
            <w:proofErr w:type="spellStart"/>
            <w:r w:rsidRPr="00D73DA7">
              <w:rPr>
                <w:rFonts w:ascii="Times New Roman" w:eastAsia="Times New Roman" w:hAnsi="Times New Roman" w:cs="Times New Roman"/>
                <w:sz w:val="24"/>
                <w:szCs w:val="24"/>
                <w:lang w:eastAsia="ru-RU"/>
              </w:rPr>
              <w:t>электропотребляющего</w:t>
            </w:r>
            <w:proofErr w:type="spellEnd"/>
            <w:r w:rsidRPr="00D73DA7">
              <w:rPr>
                <w:rFonts w:ascii="Times New Roman" w:eastAsia="Times New Roman" w:hAnsi="Times New Roman" w:cs="Times New Roman"/>
                <w:sz w:val="24"/>
                <w:szCs w:val="24"/>
                <w:lang w:eastAsia="ru-RU"/>
              </w:rPr>
              <w:t xml:space="preserve"> оборудования либо изменением потребителем режима работы подключенного </w:t>
            </w:r>
            <w:proofErr w:type="spellStart"/>
            <w:r w:rsidRPr="00D73DA7">
              <w:rPr>
                <w:rFonts w:ascii="Times New Roman" w:eastAsia="Times New Roman" w:hAnsi="Times New Roman" w:cs="Times New Roman"/>
                <w:sz w:val="24"/>
                <w:szCs w:val="24"/>
                <w:lang w:eastAsia="ru-RU"/>
              </w:rPr>
              <w:t>электропотребляющего</w:t>
            </w:r>
            <w:proofErr w:type="spellEnd"/>
            <w:r w:rsidRPr="00D73DA7">
              <w:rPr>
                <w:rFonts w:ascii="Times New Roman" w:eastAsia="Times New Roman" w:hAnsi="Times New Roman" w:cs="Times New Roman"/>
                <w:sz w:val="24"/>
                <w:szCs w:val="24"/>
                <w:lang w:eastAsia="ru-RU"/>
              </w:rPr>
              <w:t xml:space="preserve"> оборудования;</w:t>
            </w:r>
          </w:p>
          <w:p w:rsidR="00D73DA7" w:rsidRPr="00D73DA7" w:rsidRDefault="00B77508" w:rsidP="00D73DA7">
            <w:pPr>
              <w:pStyle w:val="a4"/>
              <w:numPr>
                <w:ilvl w:val="0"/>
                <w:numId w:val="1"/>
              </w:numPr>
              <w:spacing w:after="0" w:line="240" w:lineRule="auto"/>
              <w:ind w:left="743" w:hanging="426"/>
              <w:jc w:val="both"/>
              <w:rPr>
                <w:rFonts w:ascii="Times New Roman" w:eastAsia="Times New Roman" w:hAnsi="Times New Roman" w:cs="Times New Roman"/>
                <w:sz w:val="24"/>
                <w:szCs w:val="24"/>
                <w:lang w:eastAsia="ru-RU"/>
              </w:rPr>
            </w:pPr>
            <w:r w:rsidRPr="00B77508">
              <w:rPr>
                <w:rFonts w:ascii="Times New Roman" w:eastAsia="Times New Roman" w:hAnsi="Times New Roman" w:cs="Times New Roman"/>
                <w:sz w:val="24"/>
                <w:szCs w:val="24"/>
                <w:lang w:eastAsia="ru-RU"/>
              </w:rPr>
              <w:t xml:space="preserve">возникновение у граждан, ведущих садоводство или огородничество на земельных участках, расположенных в границах территории садоводства или огородничества, задолженности по оплате электрической энергии по договору энергоснабжения или перед садоводческим или огородническим некоммерческим товариществом ввиду неисполнения или ненадлежащего исполнения обязательств по оплате части стоимости электрической энергии, </w:t>
            </w:r>
            <w:r w:rsidRPr="00B77508">
              <w:rPr>
                <w:rFonts w:ascii="Times New Roman" w:eastAsia="Times New Roman" w:hAnsi="Times New Roman" w:cs="Times New Roman"/>
                <w:sz w:val="24"/>
                <w:szCs w:val="24"/>
                <w:lang w:eastAsia="ru-RU"/>
              </w:rPr>
              <w:lastRenderedPageBreak/>
              <w:t>потребленной при использовании имущества общего пользования садоводческого или огороднического некоммерческого товарищества, и части потерь электрической энергии, возникших в объектах электросетевого хозяйства, принадлежащих садоводческому или огородническому некоммерческому товариществу;</w:t>
            </w:r>
          </w:p>
          <w:p w:rsidR="00D73DA7" w:rsidRPr="00D73DA7" w:rsidRDefault="00D73DA7" w:rsidP="00D73DA7">
            <w:pPr>
              <w:pStyle w:val="a4"/>
              <w:spacing w:after="0" w:line="240" w:lineRule="auto"/>
              <w:ind w:left="743"/>
              <w:jc w:val="both"/>
              <w:rPr>
                <w:rFonts w:ascii="Times New Roman" w:eastAsia="Times New Roman" w:hAnsi="Times New Roman" w:cs="Times New Roman"/>
                <w:sz w:val="24"/>
                <w:szCs w:val="24"/>
                <w:lang w:eastAsia="ru-RU"/>
              </w:rPr>
            </w:pP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lastRenderedPageBreak/>
              <w:t>3</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прекращение обязательств по поставке электрической энергии (мощности) по договору энергоснабжения (купли-продажи (поставки) электрической энергии (мощности)) и (или) по оказанию услуг по передаче электрической энергии в отношении энергопринимающих устройств и (или) объектов электроэнергетики по договору оказания услуг по передаче электрической энергии;</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4</w:t>
            </w:r>
          </w:p>
          <w:p w:rsidR="00D73DA7" w:rsidRPr="00D73DA7" w:rsidRDefault="00D73DA7" w:rsidP="00D73DA7">
            <w:pPr>
              <w:spacing w:after="0" w:line="240" w:lineRule="auto"/>
              <w:ind w:firstLine="540"/>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выявление факта бездоговорного потребления электрической энергии;</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5</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5A485C">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выявление ненадлежащего технологического присоединения энергопринимающих устройств потребителя, которое установлено гарантирующим поставщиком, заключившим с этим потребителем в случаях, предусмотренных Основными положениями функционирования розничных рынков электрической энергии, утвержденными постановлением Правительства Российской Федерации от</w:t>
            </w:r>
            <w:r w:rsidR="005A485C">
              <w:rPr>
                <w:rFonts w:ascii="Times New Roman" w:eastAsia="Times New Roman" w:hAnsi="Times New Roman" w:cs="Times New Roman"/>
                <w:sz w:val="24"/>
                <w:szCs w:val="24"/>
                <w:lang w:eastAsia="ru-RU"/>
              </w:rPr>
              <w:t xml:space="preserve"> 04.05.2012</w:t>
            </w:r>
            <w:r w:rsidRPr="00D73DA7">
              <w:rPr>
                <w:rFonts w:ascii="Times New Roman" w:eastAsia="Times New Roman" w:hAnsi="Times New Roman" w:cs="Times New Roman"/>
                <w:sz w:val="24"/>
                <w:szCs w:val="24"/>
                <w:lang w:eastAsia="ru-RU"/>
              </w:rPr>
              <w:t xml:space="preserve"> № 442, договор энергоснабжения (купли-продажи (поставки) электрической энергии (мощности)) при отсутствии документов, подтверждающих технологическое присоединение и (или) разграничение балансовой принадлежности;</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6</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поступление от потребителя заявления о введении в отношении его энергопринимающих устройств и (или) объектов электроэнергетики ограничения режима потребления в случае, если у потребителя отсутствует техническая возможность самостоятельного ограничения режима потребления;</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7</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окончание срока, на который осуществлялось технологическое присоединение с применением временной схемы электроснабжения, или возникновение основания для его досрочного прекращения;</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8</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возникновение (угроза возникновения) аварийных электроэнергетических режимов;</w:t>
            </w:r>
          </w:p>
        </w:tc>
      </w:tr>
      <w:tr w:rsidR="00D73DA7" w:rsidRPr="00D73DA7" w:rsidTr="00D73DA7">
        <w:trPr>
          <w:jc w:val="center"/>
        </w:trPr>
        <w:tc>
          <w:tcPr>
            <w:tcW w:w="46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9</w:t>
            </w:r>
          </w:p>
        </w:tc>
        <w:tc>
          <w:tcPr>
            <w:tcW w:w="9145" w:type="dxa"/>
          </w:tcPr>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r w:rsidRPr="00D73DA7">
              <w:rPr>
                <w:rFonts w:ascii="Times New Roman" w:eastAsia="Times New Roman" w:hAnsi="Times New Roman" w:cs="Times New Roman"/>
                <w:sz w:val="24"/>
                <w:szCs w:val="24"/>
                <w:lang w:eastAsia="ru-RU"/>
              </w:rPr>
              <w:t>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и (или) объекты электроэнергетики потребителя, или необходимость проведения ремонтных работ на объектах электросетевого хозяйства смежных сетевых организаций (объектах электросетевого хозяйства иных владельцев) либо на объектах по производству электрической энергии в случае, если проведение этих работ невозможно без ограничения режима потребления.</w:t>
            </w:r>
          </w:p>
          <w:p w:rsidR="00D73DA7" w:rsidRPr="00D73DA7" w:rsidRDefault="00D73DA7" w:rsidP="00D73DA7">
            <w:pPr>
              <w:spacing w:after="0" w:line="240" w:lineRule="auto"/>
              <w:jc w:val="both"/>
              <w:rPr>
                <w:rFonts w:ascii="Times New Roman" w:eastAsia="Times New Roman" w:hAnsi="Times New Roman" w:cs="Times New Roman"/>
                <w:sz w:val="24"/>
                <w:szCs w:val="24"/>
                <w:lang w:eastAsia="ru-RU"/>
              </w:rPr>
            </w:pPr>
          </w:p>
        </w:tc>
      </w:tr>
      <w:tr w:rsidR="00D73DA7" w:rsidRPr="00D73DA7" w:rsidTr="00D73DA7">
        <w:trPr>
          <w:jc w:val="center"/>
        </w:trPr>
        <w:tc>
          <w:tcPr>
            <w:tcW w:w="465" w:type="dxa"/>
          </w:tcPr>
          <w:p w:rsidR="00D73DA7" w:rsidRPr="00D73DA7" w:rsidRDefault="00D73DA7" w:rsidP="00D73DA7">
            <w:pPr>
              <w:spacing w:after="0" w:line="240" w:lineRule="auto"/>
              <w:jc w:val="center"/>
              <w:rPr>
                <w:rFonts w:ascii="Times New Roman" w:hAnsi="Times New Roman" w:cs="Times New Roman"/>
                <w:sz w:val="24"/>
                <w:szCs w:val="24"/>
              </w:rPr>
            </w:pPr>
          </w:p>
        </w:tc>
        <w:tc>
          <w:tcPr>
            <w:tcW w:w="9145" w:type="dxa"/>
          </w:tcPr>
          <w:p w:rsidR="00D73DA7" w:rsidRPr="00D73DA7" w:rsidRDefault="00D73DA7" w:rsidP="00876B7D">
            <w:pPr>
              <w:spacing w:after="0" w:line="240" w:lineRule="auto"/>
              <w:jc w:val="both"/>
              <w:rPr>
                <w:rFonts w:ascii="Times New Roman" w:eastAsia="Times New Roman" w:hAnsi="Times New Roman" w:cs="Times New Roman"/>
                <w:sz w:val="24"/>
                <w:szCs w:val="24"/>
                <w:lang w:eastAsia="ru-RU"/>
              </w:rPr>
            </w:pPr>
            <w:r w:rsidRPr="00D73DA7">
              <w:rPr>
                <w:rFonts w:ascii="Times New Roman" w:hAnsi="Times New Roman" w:cs="Times New Roman"/>
                <w:b/>
                <w:sz w:val="24"/>
                <w:szCs w:val="24"/>
              </w:rPr>
              <w:t xml:space="preserve">В соответствии с разделом XI Правил предоставления коммунальных услуг собственникам и пользователям помещений в многоквартирных домах и жилых домов, утвержденных </w:t>
            </w:r>
            <w:r w:rsidR="005A485C">
              <w:rPr>
                <w:rFonts w:ascii="Times New Roman" w:hAnsi="Times New Roman" w:cs="Times New Roman"/>
                <w:b/>
                <w:sz w:val="24"/>
                <w:szCs w:val="24"/>
              </w:rPr>
              <w:t>п</w:t>
            </w:r>
            <w:r w:rsidRPr="00D73DA7">
              <w:rPr>
                <w:rFonts w:ascii="Times New Roman" w:hAnsi="Times New Roman" w:cs="Times New Roman"/>
                <w:b/>
                <w:sz w:val="24"/>
                <w:szCs w:val="24"/>
              </w:rPr>
              <w:t xml:space="preserve">остановлением Правительства Российской Федерации от 06.05.2011 № 354, </w:t>
            </w:r>
            <w:r w:rsidRPr="00D73DA7">
              <w:rPr>
                <w:rFonts w:ascii="Times New Roman" w:hAnsi="Times New Roman" w:cs="Times New Roman"/>
                <w:sz w:val="24"/>
                <w:szCs w:val="24"/>
              </w:rPr>
              <w:t xml:space="preserve">ограничение или приостановление предоставления коммунальных услуг без предварительного уведомления потребителя </w:t>
            </w:r>
            <w:r w:rsidR="00876B7D">
              <w:rPr>
                <w:rFonts w:ascii="Times New Roman" w:hAnsi="Times New Roman" w:cs="Times New Roman"/>
                <w:sz w:val="24"/>
                <w:szCs w:val="24"/>
              </w:rPr>
              <w:t xml:space="preserve">осуществляется </w:t>
            </w:r>
            <w:r w:rsidRPr="00D73DA7">
              <w:rPr>
                <w:rFonts w:ascii="Times New Roman" w:hAnsi="Times New Roman" w:cs="Times New Roman"/>
                <w:sz w:val="24"/>
                <w:szCs w:val="24"/>
              </w:rPr>
              <w:t>в случае:</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1</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2</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3</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 xml:space="preserve">выявления факта несанкционированного подключения внутриквартирного оборудования потребителя к внутридомовым инженерным системам или </w:t>
            </w:r>
            <w:r w:rsidRPr="00D73DA7">
              <w:rPr>
                <w:rFonts w:ascii="Times New Roman" w:eastAsia="Times New Roman" w:hAnsi="Times New Roman" w:cs="Times New Roman"/>
                <w:sz w:val="24"/>
                <w:szCs w:val="24"/>
                <w:lang w:eastAsia="ru-RU"/>
              </w:rPr>
              <w:lastRenderedPageBreak/>
              <w:t>централизованным сетям инженерно-технического обеспечения - с момента выявления несанкционированного подключения;</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lastRenderedPageBreak/>
              <w:t>4</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5</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tc>
      </w:tr>
      <w:tr w:rsidR="00D73DA7" w:rsidRPr="00D73DA7" w:rsidTr="00D73DA7">
        <w:trPr>
          <w:jc w:val="center"/>
        </w:trPr>
        <w:tc>
          <w:tcPr>
            <w:tcW w:w="465" w:type="dxa"/>
          </w:tcPr>
          <w:p w:rsidR="00D73DA7" w:rsidRPr="00D73DA7" w:rsidRDefault="00D73DA7" w:rsidP="00D73DA7">
            <w:pPr>
              <w:spacing w:after="0" w:line="240" w:lineRule="auto"/>
              <w:jc w:val="center"/>
              <w:rPr>
                <w:rFonts w:ascii="Times New Roman" w:hAnsi="Times New Roman" w:cs="Times New Roman"/>
                <w:sz w:val="24"/>
                <w:szCs w:val="24"/>
              </w:rPr>
            </w:pPr>
          </w:p>
        </w:tc>
        <w:tc>
          <w:tcPr>
            <w:tcW w:w="9145" w:type="dxa"/>
          </w:tcPr>
          <w:p w:rsidR="00D73DA7" w:rsidRPr="00D73DA7" w:rsidRDefault="00D73DA7" w:rsidP="00876B7D">
            <w:pPr>
              <w:spacing w:after="0" w:line="240" w:lineRule="auto"/>
              <w:rPr>
                <w:rFonts w:ascii="Times New Roman" w:hAnsi="Times New Roman" w:cs="Times New Roman"/>
                <w:sz w:val="24"/>
                <w:szCs w:val="24"/>
              </w:rPr>
            </w:pPr>
            <w:r w:rsidRPr="00D73DA7">
              <w:rPr>
                <w:rFonts w:ascii="Times New Roman" w:hAnsi="Times New Roman" w:cs="Times New Roman"/>
                <w:b/>
                <w:sz w:val="24"/>
                <w:szCs w:val="24"/>
              </w:rPr>
              <w:t xml:space="preserve">В соответствии с разделом XI Правил предоставления коммунальных услуг собственникам и пользователям помещений в многоквартирных домах и жилых домов, утвержденных </w:t>
            </w:r>
            <w:r w:rsidR="00876B7D">
              <w:rPr>
                <w:rFonts w:ascii="Times New Roman" w:hAnsi="Times New Roman" w:cs="Times New Roman"/>
                <w:b/>
                <w:sz w:val="24"/>
                <w:szCs w:val="24"/>
              </w:rPr>
              <w:t>п</w:t>
            </w:r>
            <w:r w:rsidRPr="00D73DA7">
              <w:rPr>
                <w:rFonts w:ascii="Times New Roman" w:hAnsi="Times New Roman" w:cs="Times New Roman"/>
                <w:b/>
                <w:sz w:val="24"/>
                <w:szCs w:val="24"/>
              </w:rPr>
              <w:t xml:space="preserve">остановлением Правительства Российской Федерации от 06.05.2011 № 354, </w:t>
            </w:r>
            <w:r w:rsidRPr="00D73DA7">
              <w:rPr>
                <w:rFonts w:ascii="Times New Roman" w:hAnsi="Times New Roman" w:cs="Times New Roman"/>
                <w:sz w:val="24"/>
                <w:szCs w:val="24"/>
              </w:rPr>
              <w:t>ограничение или приостановление предоставления коммунальных услуг</w:t>
            </w:r>
            <w:r w:rsidR="00876B7D">
              <w:rPr>
                <w:rFonts w:ascii="Times New Roman" w:hAnsi="Times New Roman" w:cs="Times New Roman"/>
                <w:sz w:val="24"/>
                <w:szCs w:val="24"/>
              </w:rPr>
              <w:t xml:space="preserve"> осуществляется,</w:t>
            </w:r>
            <w:r w:rsidRPr="00D73DA7">
              <w:rPr>
                <w:rFonts w:ascii="Times New Roman" w:hAnsi="Times New Roman" w:cs="Times New Roman"/>
                <w:sz w:val="24"/>
                <w:szCs w:val="24"/>
              </w:rPr>
              <w:t xml:space="preserve"> </w:t>
            </w:r>
            <w:r w:rsidRPr="00D73DA7">
              <w:rPr>
                <w:rFonts w:ascii="Times New Roman" w:eastAsia="Times New Roman" w:hAnsi="Times New Roman" w:cs="Times New Roman"/>
                <w:sz w:val="24"/>
                <w:szCs w:val="24"/>
                <w:lang w:eastAsia="ru-RU"/>
              </w:rPr>
              <w:t>предварительно уведомив об этом потребителя, в случае:</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1</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 xml:space="preserve">неполной оплаты потребителем коммунальной услуги </w:t>
            </w:r>
            <w:r w:rsidRPr="00D73DA7">
              <w:rPr>
                <w:rFonts w:ascii="Times New Roman" w:hAnsi="Times New Roman" w:cs="Times New Roman"/>
                <w:sz w:val="24"/>
                <w:szCs w:val="24"/>
              </w:rPr>
              <w:t xml:space="preserve">— через 20 дней после </w:t>
            </w:r>
            <w:r w:rsidR="00D33528">
              <w:rPr>
                <w:rFonts w:ascii="Times New Roman" w:hAnsi="Times New Roman" w:cs="Times New Roman"/>
                <w:sz w:val="24"/>
                <w:szCs w:val="24"/>
              </w:rPr>
              <w:t>доставки потребителю</w:t>
            </w:r>
            <w:r w:rsidRPr="00D73DA7">
              <w:rPr>
                <w:rFonts w:ascii="Times New Roman" w:hAnsi="Times New Roman" w:cs="Times New Roman"/>
                <w:sz w:val="24"/>
                <w:szCs w:val="24"/>
              </w:rPr>
              <w:t xml:space="preserve"> предупреждения (уведомления).</w:t>
            </w:r>
          </w:p>
          <w:p w:rsidR="00D73DA7" w:rsidRPr="00D73DA7" w:rsidRDefault="00D73DA7" w:rsidP="00D33528">
            <w:pPr>
              <w:spacing w:after="0" w:line="240" w:lineRule="auto"/>
              <w:ind w:firstLine="742"/>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w:t>
            </w:r>
            <w:bookmarkStart w:id="0" w:name="_GoBack"/>
            <w:bookmarkEnd w:id="0"/>
            <w:r w:rsidRPr="00D73DA7">
              <w:rPr>
                <w:rFonts w:ascii="Times New Roman" w:eastAsia="Times New Roman" w:hAnsi="Times New Roman" w:cs="Times New Roman"/>
                <w:sz w:val="24"/>
                <w:szCs w:val="24"/>
                <w:lang w:eastAsia="ru-RU"/>
              </w:rPr>
              <w:t xml:space="preserve">матива потребления коммунальной услуги независимо от наличия или отсутствия индивидуального или общего (квартирного) прибора учета и тарифа (цены)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w:t>
            </w:r>
            <w:r w:rsidR="00D33528">
              <w:rPr>
                <w:rFonts w:ascii="Times New Roman" w:eastAsia="Times New Roman" w:hAnsi="Times New Roman" w:cs="Times New Roman"/>
                <w:sz w:val="24"/>
                <w:szCs w:val="24"/>
                <w:lang w:eastAsia="ru-RU"/>
              </w:rPr>
              <w:t>ООО «</w:t>
            </w:r>
            <w:proofErr w:type="spellStart"/>
            <w:r w:rsidR="00D33528">
              <w:rPr>
                <w:rFonts w:ascii="Times New Roman" w:eastAsia="Times New Roman" w:hAnsi="Times New Roman" w:cs="Times New Roman"/>
                <w:sz w:val="24"/>
                <w:szCs w:val="24"/>
                <w:lang w:eastAsia="ru-RU"/>
              </w:rPr>
              <w:t>Уралэнергосбыт</w:t>
            </w:r>
            <w:proofErr w:type="spellEnd"/>
            <w:r w:rsidR="00D33528">
              <w:rPr>
                <w:rFonts w:ascii="Times New Roman" w:eastAsia="Times New Roman" w:hAnsi="Times New Roman" w:cs="Times New Roman"/>
                <w:sz w:val="24"/>
                <w:szCs w:val="24"/>
                <w:lang w:eastAsia="ru-RU"/>
              </w:rPr>
              <w:t>»</w:t>
            </w:r>
            <w:r w:rsidRPr="00D73DA7">
              <w:rPr>
                <w:rFonts w:ascii="Times New Roman" w:eastAsia="Times New Roman" w:hAnsi="Times New Roman" w:cs="Times New Roman"/>
                <w:sz w:val="24"/>
                <w:szCs w:val="24"/>
                <w:lang w:eastAsia="ru-RU"/>
              </w:rPr>
              <w:t xml:space="preserve"> соглашения о погашении задолженности и (или) при невыполнении потребителем-должником условий такого соглашения.</w:t>
            </w:r>
          </w:p>
        </w:tc>
      </w:tr>
      <w:tr w:rsidR="00D73DA7" w:rsidRPr="00D73DA7" w:rsidTr="00D73DA7">
        <w:trPr>
          <w:jc w:val="center"/>
        </w:trPr>
        <w:tc>
          <w:tcPr>
            <w:tcW w:w="465" w:type="dxa"/>
          </w:tcPr>
          <w:p w:rsidR="00D73DA7" w:rsidRPr="00D73DA7" w:rsidRDefault="00D73DA7" w:rsidP="00D73DA7">
            <w:pPr>
              <w:spacing w:after="0" w:line="240" w:lineRule="auto"/>
              <w:rPr>
                <w:rFonts w:ascii="Times New Roman" w:hAnsi="Times New Roman" w:cs="Times New Roman"/>
                <w:sz w:val="24"/>
                <w:szCs w:val="24"/>
              </w:rPr>
            </w:pPr>
            <w:r w:rsidRPr="00D73DA7">
              <w:rPr>
                <w:rFonts w:ascii="Times New Roman" w:hAnsi="Times New Roman" w:cs="Times New Roman"/>
                <w:sz w:val="24"/>
                <w:szCs w:val="24"/>
              </w:rPr>
              <w:t>2</w:t>
            </w:r>
          </w:p>
        </w:tc>
        <w:tc>
          <w:tcPr>
            <w:tcW w:w="9145" w:type="dxa"/>
          </w:tcPr>
          <w:p w:rsidR="00D73DA7" w:rsidRPr="00D73DA7" w:rsidRDefault="00D73DA7" w:rsidP="00D73DA7">
            <w:pPr>
              <w:spacing w:after="0" w:line="240" w:lineRule="auto"/>
              <w:jc w:val="both"/>
              <w:rPr>
                <w:rFonts w:ascii="Times New Roman" w:hAnsi="Times New Roman" w:cs="Times New Roman"/>
                <w:sz w:val="24"/>
                <w:szCs w:val="24"/>
              </w:rPr>
            </w:pPr>
            <w:r w:rsidRPr="00D73DA7">
              <w:rPr>
                <w:rFonts w:ascii="Times New Roman" w:eastAsia="Times New Roman" w:hAnsi="Times New Roman" w:cs="Times New Roman"/>
                <w:sz w:val="24"/>
                <w:szCs w:val="24"/>
                <w:lang w:eastAsia="ru-RU"/>
              </w:rPr>
              <w:t>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D73DA7" w:rsidRPr="00D73DA7" w:rsidRDefault="00D73DA7" w:rsidP="00D73DA7">
            <w:pPr>
              <w:spacing w:after="0" w:line="240" w:lineRule="auto"/>
              <w:jc w:val="both"/>
              <w:rPr>
                <w:rFonts w:ascii="Times New Roman" w:hAnsi="Times New Roman" w:cs="Times New Roman"/>
                <w:sz w:val="24"/>
                <w:szCs w:val="24"/>
              </w:rPr>
            </w:pPr>
          </w:p>
        </w:tc>
      </w:tr>
      <w:tr w:rsidR="00E455E7" w:rsidRPr="00D73DA7" w:rsidTr="00D73DA7">
        <w:trPr>
          <w:jc w:val="center"/>
        </w:trPr>
        <w:tc>
          <w:tcPr>
            <w:tcW w:w="465" w:type="dxa"/>
          </w:tcPr>
          <w:p w:rsidR="00E455E7" w:rsidRPr="00D73DA7" w:rsidRDefault="00E455E7" w:rsidP="00D73DA7">
            <w:pPr>
              <w:spacing w:after="0" w:line="240" w:lineRule="auto"/>
              <w:rPr>
                <w:rFonts w:ascii="Times New Roman" w:hAnsi="Times New Roman" w:cs="Times New Roman"/>
                <w:sz w:val="24"/>
                <w:szCs w:val="24"/>
              </w:rPr>
            </w:pPr>
          </w:p>
        </w:tc>
        <w:tc>
          <w:tcPr>
            <w:tcW w:w="9145" w:type="dxa"/>
          </w:tcPr>
          <w:p w:rsidR="00E455E7" w:rsidRPr="00E455E7" w:rsidRDefault="00E455E7" w:rsidP="0080567F">
            <w:pPr>
              <w:spacing w:after="0" w:line="240" w:lineRule="auto"/>
              <w:jc w:val="both"/>
              <w:rPr>
                <w:rFonts w:ascii="Times New Roman" w:eastAsia="Times New Roman" w:hAnsi="Times New Roman" w:cs="Times New Roman"/>
                <w:sz w:val="24"/>
                <w:szCs w:val="24"/>
                <w:lang w:eastAsia="ru-RU"/>
              </w:rPr>
            </w:pPr>
            <w:r w:rsidRPr="00E455E7">
              <w:rPr>
                <w:rFonts w:ascii="Times New Roman" w:hAnsi="Times New Roman" w:cs="Times New Roman"/>
                <w:sz w:val="24"/>
                <w:szCs w:val="24"/>
              </w:rPr>
              <w:t>Расходы,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 в размере, не превышающем 3 тыс. рублей в совокупности.</w:t>
            </w:r>
          </w:p>
        </w:tc>
      </w:tr>
    </w:tbl>
    <w:p w:rsidR="00D73DA7" w:rsidRDefault="00D73DA7" w:rsidP="00E455E7">
      <w:pPr>
        <w:spacing w:after="0" w:line="240" w:lineRule="auto"/>
        <w:rPr>
          <w:rFonts w:ascii="Times New Roman" w:hAnsi="Times New Roman" w:cs="Times New Roman"/>
          <w:sz w:val="24"/>
          <w:szCs w:val="24"/>
        </w:rPr>
      </w:pPr>
    </w:p>
    <w:sectPr w:rsidR="00D73DA7" w:rsidSect="00E8720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505"/>
    <w:multiLevelType w:val="hybridMultilevel"/>
    <w:tmpl w:val="058C4650"/>
    <w:lvl w:ilvl="0" w:tplc="ADC6F1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EA0B95"/>
    <w:multiLevelType w:val="hybridMultilevel"/>
    <w:tmpl w:val="FAE6E3C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AF55416"/>
    <w:multiLevelType w:val="hybridMultilevel"/>
    <w:tmpl w:val="AC6C6078"/>
    <w:lvl w:ilvl="0" w:tplc="64DE08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678057CE"/>
    <w:multiLevelType w:val="multilevel"/>
    <w:tmpl w:val="8AA8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E82"/>
    <w:rsid w:val="00560155"/>
    <w:rsid w:val="005A485C"/>
    <w:rsid w:val="0068799B"/>
    <w:rsid w:val="007246D3"/>
    <w:rsid w:val="00731409"/>
    <w:rsid w:val="0080567F"/>
    <w:rsid w:val="00876B7D"/>
    <w:rsid w:val="009C1B29"/>
    <w:rsid w:val="009F3787"/>
    <w:rsid w:val="00A14BDD"/>
    <w:rsid w:val="00A71564"/>
    <w:rsid w:val="00B77508"/>
    <w:rsid w:val="00BB412C"/>
    <w:rsid w:val="00C065B0"/>
    <w:rsid w:val="00D33528"/>
    <w:rsid w:val="00D526DA"/>
    <w:rsid w:val="00D73DA7"/>
    <w:rsid w:val="00E455E7"/>
    <w:rsid w:val="00E8720B"/>
    <w:rsid w:val="00EE3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2B3F2"/>
  <w15:docId w15:val="{BF89A585-46C4-40C2-9403-76AA1159B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next w:val="a"/>
    <w:link w:val="30"/>
    <w:uiPriority w:val="9"/>
    <w:unhideWhenUsed/>
    <w:qFormat/>
    <w:rsid w:val="009F378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15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71564"/>
    <w:pPr>
      <w:ind w:left="720"/>
      <w:contextualSpacing/>
    </w:pPr>
  </w:style>
  <w:style w:type="character" w:customStyle="1" w:styleId="30">
    <w:name w:val="Заголовок 3 Знак"/>
    <w:basedOn w:val="a0"/>
    <w:link w:val="3"/>
    <w:uiPriority w:val="9"/>
    <w:rsid w:val="009F3787"/>
    <w:rPr>
      <w:rFonts w:asciiTheme="majorHAnsi" w:eastAsiaTheme="majorEastAsia" w:hAnsiTheme="majorHAnsi" w:cstheme="majorBidi"/>
      <w:b/>
      <w:bCs/>
      <w:color w:val="4F81BD" w:themeColor="accent1"/>
    </w:rPr>
  </w:style>
  <w:style w:type="paragraph" w:styleId="a5">
    <w:name w:val="Normal (Web)"/>
    <w:basedOn w:val="a"/>
    <w:uiPriority w:val="99"/>
    <w:unhideWhenUsed/>
    <w:rsid w:val="009F37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B412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958998">
      <w:bodyDiv w:val="1"/>
      <w:marLeft w:val="0"/>
      <w:marRight w:val="0"/>
      <w:marTop w:val="0"/>
      <w:marBottom w:val="0"/>
      <w:divBdr>
        <w:top w:val="none" w:sz="0" w:space="0" w:color="auto"/>
        <w:left w:val="none" w:sz="0" w:space="0" w:color="auto"/>
        <w:bottom w:val="none" w:sz="0" w:space="0" w:color="auto"/>
        <w:right w:val="none" w:sz="0" w:space="0" w:color="auto"/>
      </w:divBdr>
      <w:divsChild>
        <w:div w:id="798302234">
          <w:marLeft w:val="0"/>
          <w:marRight w:val="0"/>
          <w:marTop w:val="0"/>
          <w:marBottom w:val="0"/>
          <w:divBdr>
            <w:top w:val="none" w:sz="0" w:space="0" w:color="auto"/>
            <w:left w:val="none" w:sz="0" w:space="0" w:color="auto"/>
            <w:bottom w:val="none" w:sz="0" w:space="0" w:color="auto"/>
            <w:right w:val="none" w:sz="0" w:space="0" w:color="auto"/>
          </w:divBdr>
        </w:div>
      </w:divsChild>
    </w:div>
    <w:div w:id="564025588">
      <w:bodyDiv w:val="1"/>
      <w:marLeft w:val="0"/>
      <w:marRight w:val="0"/>
      <w:marTop w:val="0"/>
      <w:marBottom w:val="0"/>
      <w:divBdr>
        <w:top w:val="none" w:sz="0" w:space="0" w:color="auto"/>
        <w:left w:val="none" w:sz="0" w:space="0" w:color="auto"/>
        <w:bottom w:val="none" w:sz="0" w:space="0" w:color="auto"/>
        <w:right w:val="none" w:sz="0" w:space="0" w:color="auto"/>
      </w:divBdr>
    </w:div>
    <w:div w:id="658120647">
      <w:bodyDiv w:val="1"/>
      <w:marLeft w:val="0"/>
      <w:marRight w:val="0"/>
      <w:marTop w:val="0"/>
      <w:marBottom w:val="0"/>
      <w:divBdr>
        <w:top w:val="none" w:sz="0" w:space="0" w:color="auto"/>
        <w:left w:val="none" w:sz="0" w:space="0" w:color="auto"/>
        <w:bottom w:val="none" w:sz="0" w:space="0" w:color="auto"/>
        <w:right w:val="none" w:sz="0" w:space="0" w:color="auto"/>
      </w:divBdr>
    </w:div>
    <w:div w:id="1556315686">
      <w:bodyDiv w:val="1"/>
      <w:marLeft w:val="0"/>
      <w:marRight w:val="0"/>
      <w:marTop w:val="0"/>
      <w:marBottom w:val="0"/>
      <w:divBdr>
        <w:top w:val="none" w:sz="0" w:space="0" w:color="auto"/>
        <w:left w:val="none" w:sz="0" w:space="0" w:color="auto"/>
        <w:bottom w:val="none" w:sz="0" w:space="0" w:color="auto"/>
        <w:right w:val="none" w:sz="0" w:space="0" w:color="auto"/>
      </w:divBdr>
      <w:divsChild>
        <w:div w:id="1138184761">
          <w:marLeft w:val="0"/>
          <w:marRight w:val="0"/>
          <w:marTop w:val="0"/>
          <w:marBottom w:val="0"/>
          <w:divBdr>
            <w:top w:val="none" w:sz="0" w:space="0" w:color="auto"/>
            <w:left w:val="none" w:sz="0" w:space="0" w:color="auto"/>
            <w:bottom w:val="none" w:sz="0" w:space="0" w:color="auto"/>
            <w:right w:val="none" w:sz="0" w:space="0" w:color="auto"/>
          </w:divBdr>
        </w:div>
        <w:div w:id="1751151222">
          <w:marLeft w:val="0"/>
          <w:marRight w:val="0"/>
          <w:marTop w:val="0"/>
          <w:marBottom w:val="0"/>
          <w:divBdr>
            <w:top w:val="none" w:sz="0" w:space="0" w:color="auto"/>
            <w:left w:val="none" w:sz="0" w:space="0" w:color="auto"/>
            <w:bottom w:val="none" w:sz="0" w:space="0" w:color="auto"/>
            <w:right w:val="none" w:sz="0" w:space="0" w:color="auto"/>
          </w:divBdr>
        </w:div>
        <w:div w:id="945233134">
          <w:marLeft w:val="0"/>
          <w:marRight w:val="0"/>
          <w:marTop w:val="0"/>
          <w:marBottom w:val="0"/>
          <w:divBdr>
            <w:top w:val="none" w:sz="0" w:space="0" w:color="auto"/>
            <w:left w:val="none" w:sz="0" w:space="0" w:color="auto"/>
            <w:bottom w:val="none" w:sz="0" w:space="0" w:color="auto"/>
            <w:right w:val="none" w:sz="0" w:space="0" w:color="auto"/>
          </w:divBdr>
        </w:div>
      </w:divsChild>
    </w:div>
    <w:div w:id="188671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77583-7B8B-4294-AB12-4E6A8B09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1440</Words>
  <Characters>8212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Худякова Елена Николаевна</cp:lastModifiedBy>
  <cp:revision>4</cp:revision>
  <dcterms:created xsi:type="dcterms:W3CDTF">2020-08-19T05:43:00Z</dcterms:created>
  <dcterms:modified xsi:type="dcterms:W3CDTF">2020-08-19T06:01:00Z</dcterms:modified>
</cp:coreProperties>
</file>